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F6" w:rsidRPr="007C17F6" w:rsidRDefault="007C17F6" w:rsidP="007C17F6">
      <w:pPr>
        <w:rPr>
          <w:rFonts w:ascii="微软雅黑" w:eastAsia="微软雅黑" w:hAnsi="微软雅黑" w:cs="仿宋_GB2312"/>
          <w:b/>
          <w:sz w:val="32"/>
          <w:szCs w:val="32"/>
        </w:rPr>
      </w:pPr>
      <w:r w:rsidRPr="007C17F6">
        <w:rPr>
          <w:rFonts w:ascii="微软雅黑" w:eastAsia="微软雅黑" w:hAnsi="微软雅黑" w:cs="仿宋_GB2312" w:hint="eastAsia"/>
          <w:b/>
          <w:sz w:val="32"/>
          <w:szCs w:val="32"/>
        </w:rPr>
        <w:t>附件2</w:t>
      </w:r>
    </w:p>
    <w:p w:rsidR="007C17F6" w:rsidRPr="007C17F6" w:rsidRDefault="007C17F6" w:rsidP="007C17F6">
      <w:pPr>
        <w:spacing w:line="560" w:lineRule="exact"/>
        <w:jc w:val="center"/>
        <w:rPr>
          <w:rFonts w:ascii="微软雅黑" w:eastAsia="微软雅黑" w:hAnsi="微软雅黑" w:cs="仿宋_GB2312"/>
          <w:b/>
          <w:bCs/>
          <w:sz w:val="28"/>
          <w:szCs w:val="28"/>
        </w:rPr>
      </w:pPr>
      <w:r w:rsidRPr="007C17F6">
        <w:rPr>
          <w:rFonts w:ascii="微软雅黑" w:eastAsia="微软雅黑" w:hAnsi="微软雅黑" w:cs="仿宋_GB2312" w:hint="eastAsia"/>
          <w:b/>
          <w:bCs/>
          <w:sz w:val="28"/>
          <w:szCs w:val="28"/>
        </w:rPr>
        <w:t>焊接电缆耦合装置GB15579.12 新旧标准主要差异及补充试验</w:t>
      </w:r>
    </w:p>
    <w:p w:rsidR="007C17F6" w:rsidRPr="007C17F6" w:rsidRDefault="007C17F6" w:rsidP="007C17F6">
      <w:pPr>
        <w:spacing w:line="480" w:lineRule="exact"/>
        <w:rPr>
          <w:rFonts w:ascii="微软雅黑" w:eastAsia="微软雅黑" w:hAnsi="微软雅黑" w:cs="仿宋_GB2312"/>
          <w:b/>
          <w:bCs/>
          <w:sz w:val="28"/>
          <w:szCs w:val="28"/>
        </w:rPr>
      </w:pPr>
    </w:p>
    <w:p w:rsidR="007C17F6" w:rsidRPr="007C17F6" w:rsidRDefault="007C17F6" w:rsidP="007C17F6">
      <w:pPr>
        <w:spacing w:line="480" w:lineRule="exact"/>
        <w:rPr>
          <w:rFonts w:ascii="微软雅黑" w:eastAsia="微软雅黑" w:hAnsi="微软雅黑" w:cs="仿宋_GB2312"/>
          <w:b/>
          <w:bCs/>
          <w:sz w:val="28"/>
          <w:szCs w:val="28"/>
        </w:rPr>
      </w:pPr>
      <w:r w:rsidRPr="007C17F6">
        <w:rPr>
          <w:rFonts w:ascii="微软雅黑" w:eastAsia="微软雅黑" w:hAnsi="微软雅黑" w:cs="仿宋_GB2312" w:hint="eastAsia"/>
          <w:b/>
          <w:bCs/>
          <w:sz w:val="28"/>
          <w:szCs w:val="28"/>
        </w:rPr>
        <w:t>1. GB 15579.12-2012 与GB 15579.12-1998的主要差异</w:t>
      </w:r>
    </w:p>
    <w:p w:rsidR="007C17F6" w:rsidRPr="007C17F6" w:rsidRDefault="007C17F6" w:rsidP="007C17F6">
      <w:pPr>
        <w:spacing w:line="400" w:lineRule="exact"/>
        <w:ind w:firstLineChars="200" w:firstLine="480"/>
        <w:rPr>
          <w:rFonts w:ascii="微软雅黑" w:eastAsia="微软雅黑" w:hAnsi="微软雅黑" w:cs="仿宋_GB2312"/>
          <w:sz w:val="24"/>
        </w:rPr>
      </w:pPr>
      <w:r w:rsidRPr="007C17F6">
        <w:rPr>
          <w:rFonts w:ascii="微软雅黑" w:eastAsia="微软雅黑" w:hAnsi="微软雅黑" w:cs="仿宋_GB2312" w:hint="eastAsia"/>
          <w:sz w:val="24"/>
        </w:rPr>
        <w:t>GB 15579.12-2012 《弧焊设备 第12部分：焊接电缆耦合装置》为强制性国家标准，于2013-12-01实施，并替代GB 15579.12-1998。现将其与GB 15579.12-1998的主要差异列表如下。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080"/>
        <w:gridCol w:w="1620"/>
        <w:gridCol w:w="5040"/>
      </w:tblGrid>
      <w:tr w:rsidR="007C17F6" w:rsidRPr="007C17F6" w:rsidTr="009D7597">
        <w:tc>
          <w:tcPr>
            <w:tcW w:w="540" w:type="dxa"/>
            <w:tcBorders>
              <w:top w:val="single" w:sz="4" w:space="0" w:color="auto"/>
              <w:left w:val="single" w:sz="4" w:space="0" w:color="auto"/>
              <w:bottom w:val="single" w:sz="4" w:space="0" w:color="auto"/>
              <w:right w:val="single" w:sz="4" w:space="0" w:color="auto"/>
            </w:tcBorders>
          </w:tcPr>
          <w:p w:rsidR="007C17F6" w:rsidRPr="007C17F6" w:rsidRDefault="007C17F6" w:rsidP="009D7597">
            <w:pPr>
              <w:spacing w:line="320" w:lineRule="exact"/>
              <w:jc w:val="center"/>
              <w:rPr>
                <w:rFonts w:ascii="微软雅黑" w:eastAsia="微软雅黑" w:hAnsi="微软雅黑" w:cs="仿宋_GB2312"/>
                <w:b/>
                <w:bCs/>
                <w:sz w:val="18"/>
                <w:szCs w:val="18"/>
              </w:rPr>
            </w:pPr>
            <w:r w:rsidRPr="007C17F6">
              <w:rPr>
                <w:rFonts w:ascii="微软雅黑" w:eastAsia="微软雅黑" w:hAnsi="微软雅黑" w:cs="仿宋_GB2312" w:hint="eastAsia"/>
                <w:b/>
                <w:bCs/>
                <w:sz w:val="18"/>
                <w:szCs w:val="18"/>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jc w:val="center"/>
              <w:rPr>
                <w:rFonts w:ascii="微软雅黑" w:eastAsia="微软雅黑" w:hAnsi="微软雅黑" w:cs="仿宋_GB2312"/>
                <w:b/>
                <w:bCs/>
                <w:sz w:val="18"/>
                <w:szCs w:val="18"/>
              </w:rPr>
            </w:pPr>
            <w:r w:rsidRPr="007C17F6">
              <w:rPr>
                <w:rFonts w:ascii="微软雅黑" w:eastAsia="微软雅黑" w:hAnsi="微软雅黑" w:cs="仿宋_GB2312" w:hint="eastAsia"/>
                <w:b/>
                <w:bCs/>
                <w:sz w:val="18"/>
                <w:szCs w:val="18"/>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jc w:val="center"/>
              <w:rPr>
                <w:rFonts w:ascii="微软雅黑" w:eastAsia="微软雅黑" w:hAnsi="微软雅黑" w:cs="仿宋_GB2312"/>
                <w:b/>
                <w:bCs/>
                <w:sz w:val="18"/>
                <w:szCs w:val="18"/>
              </w:rPr>
            </w:pPr>
            <w:r w:rsidRPr="007C17F6">
              <w:rPr>
                <w:rFonts w:ascii="微软雅黑" w:eastAsia="微软雅黑" w:hAnsi="微软雅黑" w:cs="仿宋_GB2312" w:hint="eastAsia"/>
                <w:b/>
                <w:bCs/>
                <w:sz w:val="18"/>
                <w:szCs w:val="18"/>
              </w:rPr>
              <w:t>标准编号及对应的条款号</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jc w:val="center"/>
              <w:rPr>
                <w:rFonts w:ascii="微软雅黑" w:eastAsia="微软雅黑" w:hAnsi="微软雅黑" w:cs="仿宋_GB2312"/>
                <w:b/>
                <w:bCs/>
                <w:sz w:val="18"/>
                <w:szCs w:val="18"/>
              </w:rPr>
            </w:pPr>
            <w:r w:rsidRPr="007C17F6">
              <w:rPr>
                <w:rFonts w:ascii="微软雅黑" w:eastAsia="微软雅黑" w:hAnsi="微软雅黑" w:cs="仿宋_GB2312" w:hint="eastAsia"/>
                <w:b/>
                <w:bCs/>
                <w:sz w:val="18"/>
                <w:szCs w:val="18"/>
              </w:rPr>
              <w:t>内      容</w:t>
            </w:r>
          </w:p>
        </w:tc>
      </w:tr>
      <w:tr w:rsidR="007C17F6" w:rsidRPr="007C17F6" w:rsidTr="009D7597">
        <w:trPr>
          <w:trHeight w:val="466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bookmarkStart w:id="0" w:name="_Toc189635830"/>
            <w:bookmarkStart w:id="1" w:name="_Toc189816020"/>
            <w:bookmarkStart w:id="2" w:name="_Toc247819034"/>
            <w:bookmarkStart w:id="3" w:name="_Toc303194949"/>
            <w:r w:rsidRPr="007C17F6">
              <w:rPr>
                <w:rFonts w:ascii="微软雅黑" w:eastAsia="微软雅黑" w:hAnsi="微软雅黑" w:cs="仿宋_GB2312" w:hint="eastAsia"/>
                <w:sz w:val="18"/>
                <w:szCs w:val="18"/>
              </w:rPr>
              <w:t>防触电保护</w:t>
            </w:r>
            <w:bookmarkEnd w:id="0"/>
            <w:bookmarkEnd w:id="1"/>
            <w:bookmarkEnd w:id="2"/>
            <w:bookmarkEnd w:id="3"/>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15579.12-2012</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7.1</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bookmarkStart w:id="4" w:name="_Toc189816021"/>
            <w:bookmarkStart w:id="5" w:name="_Toc247819035"/>
            <w:bookmarkStart w:id="6" w:name="_Toc303194950"/>
            <w:r w:rsidRPr="007C17F6">
              <w:rPr>
                <w:rFonts w:ascii="微软雅黑" w:eastAsia="微软雅黑" w:hAnsi="微软雅黑" w:cs="仿宋_GB2312" w:hint="eastAsia"/>
                <w:sz w:val="18"/>
                <w:szCs w:val="18"/>
              </w:rPr>
              <w:t>取消旧版标准中的“6.1 防直接接触保护”条款。</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增加“7.1 电压额定值”</w:t>
            </w:r>
            <w:bookmarkEnd w:id="4"/>
            <w:bookmarkEnd w:id="5"/>
            <w:bookmarkEnd w:id="6"/>
            <w:r w:rsidRPr="007C17F6">
              <w:rPr>
                <w:rFonts w:ascii="微软雅黑" w:eastAsia="微软雅黑" w:hAnsi="微软雅黑" w:cs="仿宋_GB2312" w:hint="eastAsia"/>
                <w:sz w:val="18"/>
                <w:szCs w:val="18"/>
              </w:rPr>
              <w:t>条款：</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耦合装置应根据工艺条件按表2要求确定其额定限值及引弧和稳弧电压值（如有的话）。</w:t>
            </w:r>
          </w:p>
          <w:p w:rsidR="007C17F6" w:rsidRPr="007C17F6" w:rsidRDefault="007C17F6" w:rsidP="009D7597">
            <w:pPr>
              <w:spacing w:line="320" w:lineRule="exact"/>
              <w:ind w:firstLineChars="1000" w:firstLine="1800"/>
              <w:rPr>
                <w:rFonts w:ascii="微软雅黑" w:eastAsia="微软雅黑" w:hAnsi="微软雅黑" w:cs="仿宋_GB2312"/>
                <w:sz w:val="18"/>
                <w:szCs w:val="18"/>
              </w:rPr>
            </w:pPr>
            <w:bookmarkStart w:id="7" w:name="_Toc303194971"/>
            <w:r w:rsidRPr="007C17F6">
              <w:rPr>
                <w:rFonts w:ascii="微软雅黑" w:eastAsia="微软雅黑" w:hAnsi="微软雅黑" w:cs="仿宋_GB2312" w:hint="eastAsia"/>
                <w:sz w:val="18"/>
                <w:szCs w:val="18"/>
              </w:rPr>
              <w:t>表1  电压额定值</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1071"/>
              <w:gridCol w:w="643"/>
              <w:gridCol w:w="905"/>
              <w:gridCol w:w="900"/>
            </w:tblGrid>
            <w:tr w:rsidR="007C17F6" w:rsidRPr="007C17F6" w:rsidTr="009D7597">
              <w:trPr>
                <w:jc w:val="center"/>
              </w:trPr>
              <w:tc>
                <w:tcPr>
                  <w:tcW w:w="1285" w:type="dxa"/>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工  艺</w:t>
                  </w:r>
                </w:p>
              </w:tc>
              <w:tc>
                <w:tcPr>
                  <w:tcW w:w="1071" w:type="dxa"/>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电压额定值（峰值）</w:t>
                  </w:r>
                </w:p>
                <w:p w:rsidR="007C17F6" w:rsidRPr="007C17F6" w:rsidRDefault="007C17F6" w:rsidP="009D7597">
                  <w:pPr>
                    <w:spacing w:line="320" w:lineRule="exact"/>
                    <w:ind w:firstLineChars="200" w:firstLine="360"/>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V</w:t>
                  </w:r>
                </w:p>
              </w:tc>
              <w:tc>
                <w:tcPr>
                  <w:tcW w:w="643" w:type="dxa"/>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绝缘电阻</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MΩ</w:t>
                  </w:r>
                </w:p>
              </w:tc>
              <w:tc>
                <w:tcPr>
                  <w:tcW w:w="905" w:type="dxa"/>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介电强度（有效值）</w:t>
                  </w:r>
                </w:p>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V</w:t>
                  </w:r>
                </w:p>
              </w:tc>
              <w:tc>
                <w:tcPr>
                  <w:tcW w:w="900" w:type="dxa"/>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外壳防护等级</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4208</w:t>
                  </w:r>
                </w:p>
              </w:tc>
            </w:tr>
            <w:tr w:rsidR="007C17F6" w:rsidRPr="007C17F6" w:rsidTr="009D7597">
              <w:trPr>
                <w:trHeight w:val="425"/>
                <w:jc w:val="center"/>
              </w:trPr>
              <w:tc>
                <w:tcPr>
                  <w:tcW w:w="1285" w:type="dxa"/>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除等离子弧切割以外的所有工艺</w:t>
                  </w:r>
                </w:p>
              </w:tc>
              <w:tc>
                <w:tcPr>
                  <w:tcW w:w="1071" w:type="dxa"/>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113</w:t>
                  </w:r>
                </w:p>
              </w:tc>
              <w:tc>
                <w:tcPr>
                  <w:tcW w:w="643" w:type="dxa"/>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2.5</w:t>
                  </w:r>
                </w:p>
              </w:tc>
              <w:tc>
                <w:tcPr>
                  <w:tcW w:w="905" w:type="dxa"/>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1000</w:t>
                  </w:r>
                </w:p>
              </w:tc>
              <w:tc>
                <w:tcPr>
                  <w:tcW w:w="900" w:type="dxa"/>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IP3X</w:t>
                  </w:r>
                </w:p>
              </w:tc>
            </w:tr>
            <w:tr w:rsidR="007C17F6" w:rsidRPr="007C17F6" w:rsidTr="009D7597">
              <w:trPr>
                <w:trHeight w:val="255"/>
                <w:jc w:val="center"/>
              </w:trPr>
              <w:tc>
                <w:tcPr>
                  <w:tcW w:w="1285" w:type="dxa"/>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等离子弧切割</w:t>
                  </w:r>
                </w:p>
              </w:tc>
              <w:tc>
                <w:tcPr>
                  <w:tcW w:w="1071" w:type="dxa"/>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500</w:t>
                  </w:r>
                </w:p>
              </w:tc>
              <w:tc>
                <w:tcPr>
                  <w:tcW w:w="643" w:type="dxa"/>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2.5</w:t>
                  </w:r>
                </w:p>
              </w:tc>
              <w:tc>
                <w:tcPr>
                  <w:tcW w:w="905" w:type="dxa"/>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2100</w:t>
                  </w:r>
                </w:p>
              </w:tc>
              <w:tc>
                <w:tcPr>
                  <w:tcW w:w="900" w:type="dxa"/>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IP3X</w:t>
                  </w:r>
                </w:p>
              </w:tc>
            </w:tr>
          </w:tbl>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r>
      <w:tr w:rsidR="007C17F6" w:rsidRPr="007C17F6" w:rsidTr="009D7597">
        <w:trPr>
          <w:trHeight w:val="1303"/>
        </w:trPr>
        <w:tc>
          <w:tcPr>
            <w:tcW w:w="540" w:type="dxa"/>
            <w:vMerge/>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15579.12-1998</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6.1</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6.1 防直接接触保护</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耦合装置装上按制造厂规定的最小截面积的焊接电缆并插好后，应能防止意外触及其带电部分。用直径lmm的棒施加3N的力，检验合格与否。</w:t>
            </w:r>
          </w:p>
        </w:tc>
      </w:tr>
      <w:tr w:rsidR="007C17F6" w:rsidRPr="007C17F6" w:rsidTr="009D7597">
        <w:trPr>
          <w:trHeight w:val="2102"/>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2</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绝缘电阻</w:t>
            </w: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15579.12-2012</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7.2</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新的耦合装置经湿热处理后的绝缘电阻应不低于2.5MΩ。</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b）绝缘电阻的测量</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耦合装置经湿热处理后，立刻擦干其表面的水分，然后用金属箔紧紧地包裹在其绝缘体外表面。</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在耦合装置导电体与金属箔之间施加500V直流电压，测量绝缘电阻，稳定后读取数据。</w:t>
            </w:r>
          </w:p>
        </w:tc>
      </w:tr>
      <w:tr w:rsidR="007C17F6" w:rsidRPr="007C17F6" w:rsidTr="009D7597">
        <w:trPr>
          <w:trHeight w:val="2159"/>
        </w:trPr>
        <w:tc>
          <w:tcPr>
            <w:tcW w:w="540" w:type="dxa"/>
            <w:vMerge/>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15579.12-1998</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6.2</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湿热试验后，其绝缘电阻应不小于2MΩ。</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b）绝缘电阻测量</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湿热试验后，应在正常大气条件（温度为15℃～35℃，相对湿度为45％～75％，气压为86kPa～106kPa）下恢复1h～2h，再将金属箔包裹在绝缘的外表面。</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将500V直流电压施加到带电部分与金属箔之间测量绝缘电阻，稳定后读取数据。</w:t>
            </w:r>
          </w:p>
        </w:tc>
      </w:tr>
      <w:tr w:rsidR="007C17F6" w:rsidRPr="007C17F6" w:rsidTr="009D7597">
        <w:trPr>
          <w:trHeight w:val="1392"/>
        </w:trPr>
        <w:tc>
          <w:tcPr>
            <w:tcW w:w="540" w:type="dxa"/>
            <w:vMerge w:val="restart"/>
            <w:tcBorders>
              <w:top w:val="single" w:sz="4" w:space="0" w:color="auto"/>
              <w:left w:val="single" w:sz="4" w:space="0" w:color="auto"/>
              <w:right w:val="single" w:sz="4" w:space="0" w:color="auto"/>
            </w:tcBorders>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3</w:t>
            </w:r>
          </w:p>
        </w:tc>
        <w:tc>
          <w:tcPr>
            <w:tcW w:w="1080" w:type="dxa"/>
            <w:vMerge w:val="restart"/>
            <w:tcBorders>
              <w:top w:val="single" w:sz="4" w:space="0" w:color="auto"/>
              <w:left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bookmarkStart w:id="8" w:name="_Toc189816023"/>
            <w:bookmarkStart w:id="9" w:name="_Toc247819037"/>
            <w:bookmarkStart w:id="10" w:name="_Toc303194952"/>
            <w:r w:rsidRPr="007C17F6">
              <w:rPr>
                <w:rFonts w:ascii="微软雅黑" w:eastAsia="微软雅黑" w:hAnsi="微软雅黑" w:cs="仿宋_GB2312" w:hint="eastAsia"/>
                <w:sz w:val="18"/>
                <w:szCs w:val="18"/>
              </w:rPr>
              <w:t>介电强度</w:t>
            </w:r>
            <w:bookmarkEnd w:id="8"/>
            <w:bookmarkEnd w:id="9"/>
            <w:bookmarkEnd w:id="10"/>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15579.12-2012</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7.3</w:t>
            </w:r>
          </w:p>
        </w:tc>
        <w:tc>
          <w:tcPr>
            <w:tcW w:w="5040" w:type="dxa"/>
            <w:tcBorders>
              <w:top w:val="single" w:sz="4" w:space="0" w:color="auto"/>
              <w:left w:val="single" w:sz="4" w:space="0" w:color="auto"/>
              <w:bottom w:val="single" w:sz="4" w:space="0" w:color="auto"/>
              <w:right w:val="single" w:sz="4" w:space="0" w:color="auto"/>
            </w:tcBorders>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如果耦合装置与叠加有引弧和稳弧电压的焊接电源配套使用，则耦合装置的绝缘应能承受制造商规定的额定峰值引弧和稳弧电压。试验时施加的高频脉冲电压的脉宽为0.2μs～8μs，频率50Hz～300Hz，电压值比额定峰值引弧电压和稳弧电压高20%。</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如果耦合装置与叠加有引弧和稳弧电压的焊接电源配套使用，则耦合装置应能承受高频试验电压。高频电压的满值时间应持续2s，施加高频电压的部位为电极回路与：</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a）导电体的表面；</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b）其它隔离的回路。</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试验过程中不应出现闪络或击穿现象。不伴随电压降低的任何放电可以忽略不计。</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替换试验：如果耦合装置与叠加有引弧和稳弧电压的焊接电源配套使用，可以用频率为50Hz或60Hz、近似正弦波的交流电压进行试验。</w:t>
            </w:r>
          </w:p>
        </w:tc>
      </w:tr>
      <w:tr w:rsidR="007C17F6" w:rsidRPr="007C17F6" w:rsidTr="009D7597">
        <w:trPr>
          <w:trHeight w:val="350"/>
        </w:trPr>
        <w:tc>
          <w:tcPr>
            <w:tcW w:w="540" w:type="dxa"/>
            <w:vMerge/>
            <w:tcBorders>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15579.12-1998</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6.3</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旧版标准中的6.3无上述要求。</w:t>
            </w:r>
          </w:p>
        </w:tc>
      </w:tr>
      <w:tr w:rsidR="007C17F6" w:rsidRPr="007C17F6" w:rsidTr="009D7597">
        <w:trPr>
          <w:trHeight w:val="514"/>
        </w:trPr>
        <w:tc>
          <w:tcPr>
            <w:tcW w:w="540" w:type="dxa"/>
            <w:vMerge w:val="restart"/>
            <w:tcBorders>
              <w:top w:val="single" w:sz="4" w:space="0" w:color="auto"/>
              <w:left w:val="single" w:sz="4" w:space="0" w:color="auto"/>
              <w:right w:val="single" w:sz="4" w:space="0" w:color="auto"/>
            </w:tcBorders>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4</w:t>
            </w:r>
          </w:p>
        </w:tc>
        <w:tc>
          <w:tcPr>
            <w:tcW w:w="1080" w:type="dxa"/>
            <w:vMerge w:val="restart"/>
            <w:tcBorders>
              <w:top w:val="single" w:sz="4" w:space="0" w:color="auto"/>
              <w:left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温升</w:t>
            </w: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15579.12-2012</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8.1</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在整个试验期间，直流额定电流应保持恒定，允差为±2%。</w:t>
            </w:r>
          </w:p>
        </w:tc>
      </w:tr>
      <w:tr w:rsidR="007C17F6" w:rsidRPr="007C17F6" w:rsidTr="009D7597">
        <w:trPr>
          <w:trHeight w:val="419"/>
        </w:trPr>
        <w:tc>
          <w:tcPr>
            <w:tcW w:w="540" w:type="dxa"/>
            <w:vMerge/>
            <w:tcBorders>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15579.12-1998</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7.1</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旧版标准中的7.1无上述要求。</w:t>
            </w:r>
          </w:p>
        </w:tc>
      </w:tr>
      <w:tr w:rsidR="007C17F6" w:rsidRPr="007C17F6" w:rsidTr="009D7597">
        <w:trPr>
          <w:trHeight w:val="656"/>
        </w:trPr>
        <w:tc>
          <w:tcPr>
            <w:tcW w:w="540" w:type="dxa"/>
            <w:vMerge w:val="restart"/>
            <w:tcBorders>
              <w:top w:val="single" w:sz="4" w:space="0" w:color="auto"/>
              <w:left w:val="single" w:sz="4" w:space="0" w:color="auto"/>
              <w:right w:val="single" w:sz="4" w:space="0" w:color="auto"/>
            </w:tcBorders>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5</w:t>
            </w:r>
          </w:p>
        </w:tc>
        <w:tc>
          <w:tcPr>
            <w:tcW w:w="1080" w:type="dxa"/>
            <w:vMerge w:val="restart"/>
            <w:tcBorders>
              <w:top w:val="single" w:sz="4" w:space="0" w:color="auto"/>
              <w:left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耐焊接飞溅物</w:t>
            </w: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15579.12-2012</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8.2</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而后将处于水平位置的加热棒置于耦合装置的绝缘薄弱处（例如：绝缘层的最薄处、最接近带电体的部位），持续2min。加热棒不应穿透绝缘层和触及带电部分。</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用电火花或小火焰试着点燃接触点逸出的气体，如果气体是可燃的，那么加热棒一离开，火焰应立即熄灭。</w:t>
            </w:r>
          </w:p>
        </w:tc>
      </w:tr>
      <w:tr w:rsidR="007C17F6" w:rsidRPr="007C17F6" w:rsidTr="009D7597">
        <w:trPr>
          <w:trHeight w:val="656"/>
        </w:trPr>
        <w:tc>
          <w:tcPr>
            <w:tcW w:w="540" w:type="dxa"/>
            <w:vMerge/>
            <w:tcBorders>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15579.12-1998</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7.2</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而后将处于水平位置的加热棒置于耦合装置的绝缘表面，持续2min。加热棒进入绝缘层的深度不应超过1.5mm，而且不能触及带电部分。进入深度的测量是从绝缘层主体外表面算起，不包括肋条和其他凸起部分。用电火花或小火焰试着点燃接触点逸出的气体，如果气体是可燃的，那么加热棒一离开，火焰应立即熄灭。</w:t>
            </w:r>
          </w:p>
        </w:tc>
      </w:tr>
      <w:tr w:rsidR="007C17F6" w:rsidRPr="007C17F6" w:rsidTr="009D7597">
        <w:trPr>
          <w:trHeight w:val="656"/>
        </w:trPr>
        <w:tc>
          <w:tcPr>
            <w:tcW w:w="540" w:type="dxa"/>
            <w:vMerge w:val="restart"/>
            <w:tcBorders>
              <w:top w:val="single" w:sz="4" w:space="0" w:color="auto"/>
              <w:left w:val="single" w:sz="4" w:space="0" w:color="auto"/>
              <w:right w:val="single" w:sz="4" w:space="0" w:color="auto"/>
            </w:tcBorders>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lastRenderedPageBreak/>
              <w:t>6</w:t>
            </w:r>
          </w:p>
        </w:tc>
        <w:tc>
          <w:tcPr>
            <w:tcW w:w="1080" w:type="dxa"/>
            <w:vMerge w:val="restart"/>
            <w:tcBorders>
              <w:top w:val="single" w:sz="4" w:space="0" w:color="auto"/>
              <w:left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标志</w:t>
            </w: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15579.12-2012</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第10章</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应将以下内容清晰而持久地标注在每个耦合装置上。</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a) 制造商、销售商、进口商的名称或注册商标；</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b) 允许的焊接电缆最大截面积；</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c) 允许的焊接电缆最小截面积；</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d) 引弧和稳弧电压的额定峰值（如适用）；</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e) 本部分编号，并确认耦合装置符合其规定。</w:t>
            </w:r>
          </w:p>
        </w:tc>
      </w:tr>
      <w:tr w:rsidR="007C17F6" w:rsidRPr="007C17F6" w:rsidTr="009D7597">
        <w:trPr>
          <w:trHeight w:val="656"/>
        </w:trPr>
        <w:tc>
          <w:tcPr>
            <w:tcW w:w="540" w:type="dxa"/>
            <w:vMerge/>
            <w:tcBorders>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bottom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15579.12-1998</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第9章</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应将以下内容清晰而持久地标注在耦合装置的每一部件上。</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a）制造厂、销售商、进口商的名称或注册商标；</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b）允许的焊接电缆最大截面积；</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c）允许的焊接电缆最小截面积；</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d）本标准编号，并确认耦合装置符合其规定；</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e）对称式耦合装置应附加标记符号：</w:t>
            </w:r>
          </w:p>
          <w:p w:rsidR="007C17F6" w:rsidRPr="007C17F6" w:rsidRDefault="007C17F6" w:rsidP="009D7597">
            <w:pPr>
              <w:spacing w:line="320" w:lineRule="exact"/>
              <w:ind w:firstLineChars="200" w:firstLine="360"/>
              <w:rPr>
                <w:rFonts w:ascii="微软雅黑" w:eastAsia="微软雅黑" w:hAnsi="微软雅黑" w:cs="仿宋_GB2312"/>
                <w:sz w:val="18"/>
                <w:szCs w:val="18"/>
              </w:rPr>
            </w:pPr>
            <w:r w:rsidRPr="007C17F6">
              <w:rPr>
                <w:rFonts w:ascii="微软雅黑" w:eastAsia="微软雅黑" w:hAnsi="微软雅黑" w:cs="仿宋_GB2312"/>
                <w:noProof/>
                <w:sz w:val="18"/>
                <w:szCs w:val="18"/>
              </w:rPr>
              <w:drawing>
                <wp:anchor distT="0" distB="0" distL="114300" distR="114300" simplePos="0" relativeHeight="251660288" behindDoc="0" locked="0" layoutInCell="1" allowOverlap="1">
                  <wp:simplePos x="0" y="0"/>
                  <wp:positionH relativeFrom="column">
                    <wp:posOffset>617220</wp:posOffset>
                  </wp:positionH>
                  <wp:positionV relativeFrom="paragraph">
                    <wp:posOffset>13970</wp:posOffset>
                  </wp:positionV>
                  <wp:extent cx="1238885" cy="384810"/>
                  <wp:effectExtent l="19050" t="0" r="0" b="0"/>
                  <wp:wrapNone/>
                  <wp:docPr id="2" name="图片 2" descr="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或"/>
                          <pic:cNvPicPr>
                            <a:picLocks noChangeAspect="1" noChangeArrowheads="1"/>
                          </pic:cNvPicPr>
                        </pic:nvPicPr>
                        <pic:blipFill>
                          <a:blip r:embed="rId6" cstate="print"/>
                          <a:srcRect/>
                          <a:stretch>
                            <a:fillRect/>
                          </a:stretch>
                        </pic:blipFill>
                        <pic:spPr bwMode="auto">
                          <a:xfrm>
                            <a:off x="0" y="0"/>
                            <a:ext cx="1238885" cy="384810"/>
                          </a:xfrm>
                          <a:prstGeom prst="rect">
                            <a:avLst/>
                          </a:prstGeom>
                          <a:noFill/>
                          <a:ln w="9525" cmpd="sng">
                            <a:noFill/>
                            <a:miter lim="800000"/>
                            <a:headEnd/>
                            <a:tailEnd/>
                          </a:ln>
                        </pic:spPr>
                      </pic:pic>
                    </a:graphicData>
                  </a:graphic>
                </wp:anchor>
              </w:drawing>
            </w:r>
          </w:p>
          <w:p w:rsidR="007C17F6" w:rsidRPr="007C17F6" w:rsidRDefault="007C17F6" w:rsidP="009D7597">
            <w:pPr>
              <w:spacing w:line="320" w:lineRule="exact"/>
              <w:ind w:firstLineChars="200" w:firstLine="360"/>
              <w:rPr>
                <w:rFonts w:ascii="微软雅黑" w:eastAsia="微软雅黑" w:hAnsi="微软雅黑" w:cs="仿宋_GB2312"/>
                <w:sz w:val="18"/>
                <w:szCs w:val="18"/>
              </w:rPr>
            </w:pP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注：当使用对称式电缆耦合器时要特别注意正确的连接。</w:t>
            </w:r>
          </w:p>
        </w:tc>
      </w:tr>
      <w:tr w:rsidR="007C17F6" w:rsidRPr="007C17F6" w:rsidTr="009D7597">
        <w:trPr>
          <w:trHeight w:val="424"/>
        </w:trPr>
        <w:tc>
          <w:tcPr>
            <w:tcW w:w="540" w:type="dxa"/>
            <w:vMerge w:val="restart"/>
            <w:tcBorders>
              <w:top w:val="single" w:sz="4" w:space="0" w:color="auto"/>
              <w:left w:val="single" w:sz="4" w:space="0" w:color="auto"/>
              <w:right w:val="single" w:sz="4" w:space="0" w:color="auto"/>
            </w:tcBorders>
            <w:vAlign w:val="center"/>
          </w:tcPr>
          <w:p w:rsidR="007C17F6" w:rsidRPr="007C17F6" w:rsidRDefault="007C17F6" w:rsidP="009D7597">
            <w:pPr>
              <w:spacing w:line="320" w:lineRule="exact"/>
              <w:jc w:val="center"/>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7</w:t>
            </w:r>
          </w:p>
        </w:tc>
        <w:tc>
          <w:tcPr>
            <w:tcW w:w="1080" w:type="dxa"/>
            <w:vMerge w:val="restart"/>
            <w:tcBorders>
              <w:top w:val="single" w:sz="4" w:space="0" w:color="auto"/>
              <w:left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尺寸</w:t>
            </w: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GB 15579.12-2012</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9.6及附录A</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耦合装置的尺寸示例参见附录A。</w:t>
            </w:r>
          </w:p>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在附录A中给出了耦合装置的尺寸要求。</w:t>
            </w:r>
          </w:p>
        </w:tc>
      </w:tr>
      <w:tr w:rsidR="007C17F6" w:rsidRPr="007C17F6" w:rsidTr="009D7597">
        <w:trPr>
          <w:trHeight w:val="475"/>
        </w:trPr>
        <w:tc>
          <w:tcPr>
            <w:tcW w:w="540" w:type="dxa"/>
            <w:vMerge/>
            <w:tcBorders>
              <w:left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080" w:type="dxa"/>
            <w:vMerge/>
            <w:tcBorders>
              <w:left w:val="single" w:sz="4" w:space="0" w:color="auto"/>
              <w:right w:val="single" w:sz="4" w:space="0" w:color="auto"/>
            </w:tcBorders>
            <w:vAlign w:val="center"/>
          </w:tcPr>
          <w:p w:rsidR="007C17F6" w:rsidRPr="007C17F6" w:rsidRDefault="007C17F6" w:rsidP="009D7597">
            <w:pPr>
              <w:spacing w:line="320" w:lineRule="exact"/>
              <w:ind w:firstLineChars="200" w:firstLine="360"/>
              <w:rPr>
                <w:rFonts w:ascii="微软雅黑" w:eastAsia="微软雅黑" w:hAnsi="微软雅黑" w:cs="仿宋_GB2312"/>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 xml:space="preserve">GB 15579.12-1998 </w:t>
            </w:r>
          </w:p>
        </w:tc>
        <w:tc>
          <w:tcPr>
            <w:tcW w:w="5040" w:type="dxa"/>
            <w:tcBorders>
              <w:top w:val="single" w:sz="4" w:space="0" w:color="auto"/>
              <w:left w:val="single" w:sz="4" w:space="0" w:color="auto"/>
              <w:bottom w:val="single" w:sz="4" w:space="0" w:color="auto"/>
              <w:right w:val="single" w:sz="4" w:space="0" w:color="auto"/>
            </w:tcBorders>
            <w:vAlign w:val="center"/>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旧版标准中未规定耦合装置的尺寸要求。</w:t>
            </w:r>
          </w:p>
        </w:tc>
      </w:tr>
    </w:tbl>
    <w:p w:rsidR="007C17F6" w:rsidRPr="007C17F6" w:rsidRDefault="007C17F6" w:rsidP="007C17F6">
      <w:pPr>
        <w:spacing w:line="320" w:lineRule="exact"/>
        <w:ind w:firstLineChars="200" w:firstLine="360"/>
        <w:rPr>
          <w:rFonts w:ascii="微软雅黑" w:eastAsia="微软雅黑" w:hAnsi="微软雅黑" w:cs="仿宋_GB2312"/>
          <w:sz w:val="18"/>
          <w:szCs w:val="18"/>
        </w:rPr>
      </w:pPr>
    </w:p>
    <w:p w:rsidR="007C17F6" w:rsidRPr="007C17F6" w:rsidRDefault="007C17F6" w:rsidP="007C17F6">
      <w:pPr>
        <w:spacing w:line="320" w:lineRule="exact"/>
        <w:rPr>
          <w:rFonts w:ascii="微软雅黑" w:eastAsia="微软雅黑" w:hAnsi="微软雅黑" w:cs="仿宋_GB2312"/>
          <w:b/>
          <w:bCs/>
          <w:sz w:val="24"/>
        </w:rPr>
      </w:pPr>
    </w:p>
    <w:p w:rsidR="007C17F6" w:rsidRPr="007C17F6" w:rsidRDefault="007C17F6" w:rsidP="007C17F6">
      <w:pPr>
        <w:spacing w:line="480" w:lineRule="exact"/>
        <w:rPr>
          <w:rFonts w:ascii="微软雅黑" w:eastAsia="微软雅黑" w:hAnsi="微软雅黑" w:cs="仿宋_GB2312"/>
          <w:b/>
          <w:bCs/>
          <w:sz w:val="28"/>
          <w:szCs w:val="28"/>
        </w:rPr>
      </w:pPr>
      <w:r w:rsidRPr="007C17F6">
        <w:rPr>
          <w:rFonts w:ascii="微软雅黑" w:eastAsia="微软雅黑" w:hAnsi="微软雅黑" w:cs="仿宋_GB2312" w:hint="eastAsia"/>
          <w:b/>
          <w:bCs/>
          <w:sz w:val="28"/>
          <w:szCs w:val="28"/>
        </w:rPr>
        <w:t>2. 焊接电缆耦合装置产品强制性认证新、旧版标准（GB15579.12）差异试验项目表</w:t>
      </w:r>
    </w:p>
    <w:p w:rsidR="007C17F6" w:rsidRPr="007C17F6" w:rsidRDefault="007C17F6" w:rsidP="007C17F6">
      <w:pPr>
        <w:jc w:val="center"/>
        <w:rPr>
          <w:rFonts w:ascii="微软雅黑" w:eastAsia="微软雅黑" w:hAnsi="微软雅黑" w:cs="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5"/>
        <w:gridCol w:w="2715"/>
        <w:gridCol w:w="2447"/>
        <w:gridCol w:w="2188"/>
      </w:tblGrid>
      <w:tr w:rsidR="007C17F6" w:rsidRPr="007C17F6" w:rsidTr="009D7597">
        <w:trPr>
          <w:trHeight w:val="780"/>
          <w:jc w:val="center"/>
        </w:trPr>
        <w:tc>
          <w:tcPr>
            <w:tcW w:w="1215" w:type="dxa"/>
            <w:vAlign w:val="center"/>
          </w:tcPr>
          <w:p w:rsidR="007C17F6" w:rsidRPr="007C17F6" w:rsidRDefault="007C17F6" w:rsidP="009D7597">
            <w:pPr>
              <w:spacing w:line="320" w:lineRule="exact"/>
              <w:jc w:val="center"/>
              <w:rPr>
                <w:rFonts w:ascii="微软雅黑" w:eastAsia="微软雅黑" w:hAnsi="微软雅黑" w:cs="仿宋_GB2312"/>
                <w:b/>
                <w:sz w:val="18"/>
                <w:szCs w:val="18"/>
              </w:rPr>
            </w:pPr>
            <w:r w:rsidRPr="007C17F6">
              <w:rPr>
                <w:rFonts w:ascii="微软雅黑" w:eastAsia="微软雅黑" w:hAnsi="微软雅黑" w:cs="仿宋_GB2312" w:hint="eastAsia"/>
                <w:b/>
                <w:sz w:val="18"/>
                <w:szCs w:val="18"/>
              </w:rPr>
              <w:t>涉及条款</w:t>
            </w:r>
          </w:p>
        </w:tc>
        <w:tc>
          <w:tcPr>
            <w:tcW w:w="2715" w:type="dxa"/>
            <w:vAlign w:val="center"/>
          </w:tcPr>
          <w:p w:rsidR="007C17F6" w:rsidRPr="007C17F6" w:rsidRDefault="007C17F6" w:rsidP="009D7597">
            <w:pPr>
              <w:spacing w:line="320" w:lineRule="exact"/>
              <w:jc w:val="center"/>
              <w:rPr>
                <w:rFonts w:ascii="微软雅黑" w:eastAsia="微软雅黑" w:hAnsi="微软雅黑" w:cs="仿宋_GB2312"/>
                <w:b/>
                <w:sz w:val="18"/>
                <w:szCs w:val="18"/>
              </w:rPr>
            </w:pPr>
            <w:r w:rsidRPr="007C17F6">
              <w:rPr>
                <w:rFonts w:ascii="微软雅黑" w:eastAsia="微软雅黑" w:hAnsi="微软雅黑" w:cs="仿宋_GB2312" w:hint="eastAsia"/>
                <w:b/>
                <w:sz w:val="18"/>
                <w:szCs w:val="18"/>
              </w:rPr>
              <w:t>新、旧版标准差异说明</w:t>
            </w:r>
          </w:p>
        </w:tc>
        <w:tc>
          <w:tcPr>
            <w:tcW w:w="2447" w:type="dxa"/>
            <w:vAlign w:val="center"/>
          </w:tcPr>
          <w:p w:rsidR="007C17F6" w:rsidRPr="007C17F6" w:rsidRDefault="007C17F6" w:rsidP="009D7597">
            <w:pPr>
              <w:spacing w:line="320" w:lineRule="exact"/>
              <w:jc w:val="center"/>
              <w:rPr>
                <w:rFonts w:ascii="微软雅黑" w:eastAsia="微软雅黑" w:hAnsi="微软雅黑" w:cs="仿宋_GB2312"/>
                <w:b/>
                <w:sz w:val="18"/>
                <w:szCs w:val="18"/>
              </w:rPr>
            </w:pPr>
            <w:r w:rsidRPr="007C17F6">
              <w:rPr>
                <w:rFonts w:ascii="微软雅黑" w:eastAsia="微软雅黑" w:hAnsi="微软雅黑" w:cs="仿宋_GB2312" w:hint="eastAsia"/>
                <w:b/>
                <w:sz w:val="18"/>
                <w:szCs w:val="18"/>
              </w:rPr>
              <w:t>补充试验说明</w:t>
            </w:r>
          </w:p>
        </w:tc>
        <w:tc>
          <w:tcPr>
            <w:tcW w:w="2188" w:type="dxa"/>
            <w:vAlign w:val="center"/>
          </w:tcPr>
          <w:p w:rsidR="007C17F6" w:rsidRPr="007C17F6" w:rsidRDefault="007C17F6" w:rsidP="009D7597">
            <w:pPr>
              <w:spacing w:line="320" w:lineRule="exact"/>
              <w:jc w:val="center"/>
              <w:rPr>
                <w:rFonts w:ascii="微软雅黑" w:eastAsia="微软雅黑" w:hAnsi="微软雅黑" w:cs="仿宋_GB2312"/>
                <w:b/>
                <w:sz w:val="18"/>
                <w:szCs w:val="18"/>
              </w:rPr>
            </w:pPr>
            <w:r w:rsidRPr="007C17F6">
              <w:rPr>
                <w:rFonts w:ascii="微软雅黑" w:eastAsia="微软雅黑" w:hAnsi="微软雅黑" w:cs="仿宋_GB2312" w:hint="eastAsia"/>
                <w:b/>
                <w:sz w:val="18"/>
                <w:szCs w:val="18"/>
              </w:rPr>
              <w:t>送样要求</w:t>
            </w:r>
          </w:p>
        </w:tc>
      </w:tr>
      <w:tr w:rsidR="007C17F6" w:rsidRPr="007C17F6" w:rsidTr="009D7597">
        <w:trPr>
          <w:trHeight w:val="780"/>
          <w:jc w:val="center"/>
        </w:trPr>
        <w:tc>
          <w:tcPr>
            <w:tcW w:w="1215" w:type="dxa"/>
            <w:vAlign w:val="center"/>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7.1电压额定值</w:t>
            </w:r>
          </w:p>
        </w:tc>
        <w:tc>
          <w:tcPr>
            <w:tcW w:w="2715" w:type="dxa"/>
            <w:vAlign w:val="center"/>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增加：耦合装置应根据工艺条件标准要求确定其额定限值及引弧和稳弧电压值。</w:t>
            </w:r>
          </w:p>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增加：外壳防护等级IP3X的要求。</w:t>
            </w:r>
          </w:p>
        </w:tc>
        <w:tc>
          <w:tcPr>
            <w:tcW w:w="2447" w:type="dxa"/>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补充试验：</w:t>
            </w:r>
          </w:p>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电压额定值核查试验。</w:t>
            </w:r>
          </w:p>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外壳防护试验。</w:t>
            </w:r>
          </w:p>
        </w:tc>
        <w:tc>
          <w:tcPr>
            <w:tcW w:w="2188" w:type="dxa"/>
            <w:vMerge w:val="restart"/>
          </w:tcPr>
          <w:p w:rsidR="007C17F6" w:rsidRPr="007C17F6" w:rsidRDefault="007C17F6" w:rsidP="009D7597">
            <w:pPr>
              <w:spacing w:line="32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按CNCA</w:t>
            </w:r>
            <w:r w:rsidRPr="007C17F6">
              <w:rPr>
                <w:rFonts w:ascii="微软雅黑" w:eastAsia="微软雅黑" w:hAnsi="微软雅黑" w:cs="仿宋_GB2312" w:hint="eastAsia"/>
                <w:sz w:val="18"/>
                <w:szCs w:val="18"/>
              </w:rPr>
              <w:softHyphen/>
            </w:r>
            <w:r w:rsidRPr="007C17F6">
              <w:rPr>
                <w:rFonts w:ascii="微软雅黑" w:eastAsia="微软雅黑" w:hAnsi="微软雅黑" w:cs="仿宋_GB2312" w:hint="eastAsia"/>
                <w:sz w:val="18"/>
                <w:szCs w:val="18"/>
              </w:rPr>
              <w:softHyphen/>
              <w:t>—01C—015：2011《电气电子产品类强制性认证实施规则电焊机》要求送样</w:t>
            </w:r>
          </w:p>
        </w:tc>
      </w:tr>
      <w:tr w:rsidR="007C17F6" w:rsidRPr="007C17F6" w:rsidTr="009D7597">
        <w:trPr>
          <w:trHeight w:val="780"/>
          <w:jc w:val="center"/>
        </w:trPr>
        <w:tc>
          <w:tcPr>
            <w:tcW w:w="1215" w:type="dxa"/>
            <w:vAlign w:val="center"/>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7.2 绝缘电阻</w:t>
            </w:r>
          </w:p>
        </w:tc>
        <w:tc>
          <w:tcPr>
            <w:tcW w:w="2715" w:type="dxa"/>
            <w:vAlign w:val="center"/>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修改：湿热处理后绝缘电阻的测量不再在正常大气条件下进行恢复。</w:t>
            </w:r>
          </w:p>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修改：绝缘电阻限值要求。</w:t>
            </w:r>
          </w:p>
        </w:tc>
        <w:tc>
          <w:tcPr>
            <w:tcW w:w="2447" w:type="dxa"/>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补充试验：</w:t>
            </w:r>
          </w:p>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重新进行绝缘电阻测试。</w:t>
            </w:r>
          </w:p>
        </w:tc>
        <w:tc>
          <w:tcPr>
            <w:tcW w:w="2188" w:type="dxa"/>
            <w:vMerge/>
          </w:tcPr>
          <w:p w:rsidR="007C17F6" w:rsidRPr="007C17F6" w:rsidRDefault="007C17F6" w:rsidP="009D7597">
            <w:pPr>
              <w:rPr>
                <w:rFonts w:ascii="微软雅黑" w:eastAsia="微软雅黑" w:hAnsi="微软雅黑" w:cs="仿宋_GB2312"/>
                <w:b/>
                <w:color w:val="000000"/>
              </w:rPr>
            </w:pPr>
          </w:p>
        </w:tc>
      </w:tr>
      <w:tr w:rsidR="007C17F6" w:rsidRPr="007C17F6" w:rsidTr="009D7597">
        <w:trPr>
          <w:trHeight w:val="780"/>
          <w:jc w:val="center"/>
        </w:trPr>
        <w:tc>
          <w:tcPr>
            <w:tcW w:w="1215" w:type="dxa"/>
            <w:vAlign w:val="center"/>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7.3介电强度</w:t>
            </w:r>
          </w:p>
        </w:tc>
        <w:tc>
          <w:tcPr>
            <w:tcW w:w="2715" w:type="dxa"/>
            <w:vAlign w:val="center"/>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增加：耦合装置与叠加有引弧和稳弧电压的焊接电源配套使用时的介电强度要求。</w:t>
            </w:r>
          </w:p>
        </w:tc>
        <w:tc>
          <w:tcPr>
            <w:tcW w:w="2447" w:type="dxa"/>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补充试验：</w:t>
            </w:r>
          </w:p>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若耦合装置与叠加有引弧和稳弧电压的焊接电源配套使</w:t>
            </w:r>
            <w:r w:rsidRPr="007C17F6">
              <w:rPr>
                <w:rFonts w:ascii="微软雅黑" w:eastAsia="微软雅黑" w:hAnsi="微软雅黑" w:cs="仿宋_GB2312" w:hint="eastAsia"/>
                <w:sz w:val="18"/>
                <w:szCs w:val="18"/>
              </w:rPr>
              <w:lastRenderedPageBreak/>
              <w:t>用时，应重新按标准要求进行介电强度试验。</w:t>
            </w:r>
          </w:p>
        </w:tc>
        <w:tc>
          <w:tcPr>
            <w:tcW w:w="2188" w:type="dxa"/>
            <w:vMerge/>
          </w:tcPr>
          <w:p w:rsidR="007C17F6" w:rsidRPr="007C17F6" w:rsidRDefault="007C17F6" w:rsidP="009D7597">
            <w:pPr>
              <w:rPr>
                <w:rFonts w:ascii="微软雅黑" w:eastAsia="微软雅黑" w:hAnsi="微软雅黑" w:cs="仿宋_GB2312"/>
                <w:b/>
                <w:color w:val="000000"/>
              </w:rPr>
            </w:pPr>
          </w:p>
        </w:tc>
      </w:tr>
      <w:tr w:rsidR="007C17F6" w:rsidRPr="007C17F6" w:rsidTr="009D7597">
        <w:trPr>
          <w:trHeight w:val="780"/>
          <w:jc w:val="center"/>
        </w:trPr>
        <w:tc>
          <w:tcPr>
            <w:tcW w:w="1215" w:type="dxa"/>
            <w:vAlign w:val="center"/>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lastRenderedPageBreak/>
              <w:t>9.6尺寸</w:t>
            </w:r>
          </w:p>
        </w:tc>
        <w:tc>
          <w:tcPr>
            <w:tcW w:w="2715" w:type="dxa"/>
            <w:vAlign w:val="center"/>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增加：耦合装置的尺寸要求。</w:t>
            </w:r>
          </w:p>
        </w:tc>
        <w:tc>
          <w:tcPr>
            <w:tcW w:w="2447" w:type="dxa"/>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补充试验：</w:t>
            </w:r>
          </w:p>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进行耦合装置尺寸核查试验。</w:t>
            </w:r>
          </w:p>
        </w:tc>
        <w:tc>
          <w:tcPr>
            <w:tcW w:w="2188" w:type="dxa"/>
            <w:vMerge/>
          </w:tcPr>
          <w:p w:rsidR="007C17F6" w:rsidRPr="007C17F6" w:rsidRDefault="007C17F6" w:rsidP="009D7597">
            <w:pPr>
              <w:rPr>
                <w:rFonts w:ascii="微软雅黑" w:eastAsia="微软雅黑" w:hAnsi="微软雅黑" w:cs="仿宋_GB2312"/>
                <w:b/>
                <w:color w:val="000000"/>
              </w:rPr>
            </w:pPr>
          </w:p>
        </w:tc>
      </w:tr>
      <w:tr w:rsidR="007C17F6" w:rsidRPr="007C17F6" w:rsidTr="009D7597">
        <w:trPr>
          <w:trHeight w:val="780"/>
          <w:jc w:val="center"/>
        </w:trPr>
        <w:tc>
          <w:tcPr>
            <w:tcW w:w="1215" w:type="dxa"/>
            <w:vAlign w:val="center"/>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10标志</w:t>
            </w:r>
          </w:p>
        </w:tc>
        <w:tc>
          <w:tcPr>
            <w:tcW w:w="2715" w:type="dxa"/>
            <w:vAlign w:val="center"/>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增加：引弧和稳弧电压的额定峰值要求。</w:t>
            </w:r>
          </w:p>
        </w:tc>
        <w:tc>
          <w:tcPr>
            <w:tcW w:w="2447" w:type="dxa"/>
          </w:tcPr>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补充试验：</w:t>
            </w:r>
          </w:p>
          <w:p w:rsidR="007C17F6" w:rsidRPr="007C17F6" w:rsidRDefault="007C17F6" w:rsidP="009D7597">
            <w:pPr>
              <w:spacing w:line="360" w:lineRule="exact"/>
              <w:rPr>
                <w:rFonts w:ascii="微软雅黑" w:eastAsia="微软雅黑" w:hAnsi="微软雅黑" w:cs="仿宋_GB2312"/>
                <w:sz w:val="18"/>
                <w:szCs w:val="18"/>
              </w:rPr>
            </w:pPr>
            <w:r w:rsidRPr="007C17F6">
              <w:rPr>
                <w:rFonts w:ascii="微软雅黑" w:eastAsia="微软雅黑" w:hAnsi="微软雅黑" w:cs="仿宋_GB2312" w:hint="eastAsia"/>
                <w:sz w:val="18"/>
                <w:szCs w:val="18"/>
              </w:rPr>
              <w:t>若耦合装置与叠加有引弧和稳弧电压的焊接电源配套使用时，应按标准要求进行标志核查试验。</w:t>
            </w:r>
          </w:p>
        </w:tc>
        <w:tc>
          <w:tcPr>
            <w:tcW w:w="2188" w:type="dxa"/>
            <w:vMerge/>
          </w:tcPr>
          <w:p w:rsidR="007C17F6" w:rsidRPr="007C17F6" w:rsidRDefault="007C17F6" w:rsidP="009D7597">
            <w:pPr>
              <w:rPr>
                <w:rFonts w:ascii="微软雅黑" w:eastAsia="微软雅黑" w:hAnsi="微软雅黑" w:cs="仿宋_GB2312"/>
                <w:b/>
                <w:color w:val="000000"/>
              </w:rPr>
            </w:pPr>
          </w:p>
        </w:tc>
      </w:tr>
    </w:tbl>
    <w:p w:rsidR="007C17F6" w:rsidRPr="007C17F6" w:rsidRDefault="007C17F6" w:rsidP="007C17F6">
      <w:pPr>
        <w:spacing w:line="560" w:lineRule="exact"/>
        <w:rPr>
          <w:rFonts w:ascii="微软雅黑" w:eastAsia="微软雅黑" w:hAnsi="微软雅黑" w:cs="仿宋_GB2312"/>
          <w:sz w:val="28"/>
          <w:szCs w:val="28"/>
        </w:rPr>
      </w:pPr>
    </w:p>
    <w:p w:rsidR="007C17F6" w:rsidRPr="007C17F6" w:rsidRDefault="007C17F6" w:rsidP="007C17F6">
      <w:pPr>
        <w:rPr>
          <w:rFonts w:ascii="微软雅黑" w:eastAsia="微软雅黑" w:hAnsi="微软雅黑"/>
        </w:rPr>
      </w:pPr>
    </w:p>
    <w:p w:rsidR="00467E13" w:rsidRPr="007C17F6" w:rsidRDefault="00467E13">
      <w:pPr>
        <w:rPr>
          <w:rFonts w:ascii="微软雅黑" w:eastAsia="微软雅黑" w:hAnsi="微软雅黑"/>
        </w:rPr>
      </w:pPr>
    </w:p>
    <w:sectPr w:rsidR="00467E13" w:rsidRPr="007C17F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E13" w:rsidRDefault="00467E13" w:rsidP="007C17F6">
      <w:r>
        <w:separator/>
      </w:r>
    </w:p>
  </w:endnote>
  <w:endnote w:type="continuationSeparator" w:id="1">
    <w:p w:rsidR="00467E13" w:rsidRDefault="00467E13" w:rsidP="007C1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E13" w:rsidRDefault="00467E13" w:rsidP="007C17F6">
      <w:r>
        <w:separator/>
      </w:r>
    </w:p>
  </w:footnote>
  <w:footnote w:type="continuationSeparator" w:id="1">
    <w:p w:rsidR="00467E13" w:rsidRDefault="00467E13" w:rsidP="007C1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17F6"/>
    <w:rsid w:val="00467E13"/>
    <w:rsid w:val="007C1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F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17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17F6"/>
    <w:rPr>
      <w:sz w:val="18"/>
      <w:szCs w:val="18"/>
    </w:rPr>
  </w:style>
  <w:style w:type="paragraph" w:styleId="a4">
    <w:name w:val="footer"/>
    <w:basedOn w:val="a"/>
    <w:link w:val="Char0"/>
    <w:uiPriority w:val="99"/>
    <w:semiHidden/>
    <w:unhideWhenUsed/>
    <w:rsid w:val="007C17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17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391</Words>
  <Characters>2231</Characters>
  <Application>Microsoft Office Word</Application>
  <DocSecurity>0</DocSecurity>
  <Lines>18</Lines>
  <Paragraphs>5</Paragraphs>
  <ScaleCrop>false</ScaleCrop>
  <Company>CHINA</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2</cp:revision>
  <dcterms:created xsi:type="dcterms:W3CDTF">2013-12-05T14:39:00Z</dcterms:created>
  <dcterms:modified xsi:type="dcterms:W3CDTF">2013-12-05T14:40:00Z</dcterms:modified>
</cp:coreProperties>
</file>