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D4" w:rsidRPr="00D823D4" w:rsidRDefault="00D823D4" w:rsidP="00D823D4">
      <w:pPr>
        <w:rPr>
          <w:rFonts w:ascii="微软雅黑" w:eastAsia="微软雅黑" w:hAnsi="微软雅黑" w:cs="仿宋_GB2312"/>
          <w:b/>
          <w:sz w:val="32"/>
          <w:szCs w:val="32"/>
        </w:rPr>
      </w:pPr>
      <w:r w:rsidRPr="00D823D4">
        <w:rPr>
          <w:rFonts w:ascii="微软雅黑" w:eastAsia="微软雅黑" w:hAnsi="微软雅黑" w:cs="仿宋_GB2312" w:hint="eastAsia"/>
          <w:b/>
          <w:sz w:val="32"/>
          <w:szCs w:val="32"/>
        </w:rPr>
        <w:t>附件3</w:t>
      </w:r>
    </w:p>
    <w:p w:rsidR="00D823D4" w:rsidRPr="00D823D4" w:rsidRDefault="00D823D4" w:rsidP="00D823D4">
      <w:pPr>
        <w:spacing w:line="480" w:lineRule="exact"/>
        <w:jc w:val="center"/>
        <w:rPr>
          <w:rFonts w:ascii="微软雅黑" w:eastAsia="微软雅黑" w:hAnsi="微软雅黑" w:cs="仿宋_GB2312"/>
          <w:b/>
          <w:bCs/>
          <w:sz w:val="28"/>
          <w:szCs w:val="28"/>
        </w:rPr>
      </w:pPr>
      <w:r w:rsidRPr="00D823D4">
        <w:rPr>
          <w:rFonts w:ascii="微软雅黑" w:eastAsia="微软雅黑" w:hAnsi="微软雅黑" w:cs="仿宋_GB2312" w:hint="eastAsia"/>
          <w:b/>
          <w:bCs/>
          <w:sz w:val="28"/>
          <w:szCs w:val="28"/>
        </w:rPr>
        <w:t xml:space="preserve">   弧焊变压器防触电装置GB10235 新旧标准主要差异及补充试验</w:t>
      </w:r>
    </w:p>
    <w:p w:rsidR="00D823D4" w:rsidRPr="00D823D4" w:rsidRDefault="00D823D4" w:rsidP="00D823D4">
      <w:pPr>
        <w:spacing w:line="480" w:lineRule="exact"/>
        <w:rPr>
          <w:rFonts w:ascii="微软雅黑" w:eastAsia="微软雅黑" w:hAnsi="微软雅黑" w:cs="仿宋_GB2312"/>
          <w:b/>
          <w:bCs/>
          <w:sz w:val="28"/>
          <w:szCs w:val="28"/>
        </w:rPr>
      </w:pPr>
      <w:r w:rsidRPr="00D823D4">
        <w:rPr>
          <w:rFonts w:ascii="微软雅黑" w:eastAsia="微软雅黑" w:hAnsi="微软雅黑" w:cs="仿宋_GB2312" w:hint="eastAsia"/>
          <w:b/>
          <w:bCs/>
          <w:sz w:val="28"/>
          <w:szCs w:val="28"/>
        </w:rPr>
        <w:t>1. GB 10235-2012 与GB 10235-2000的主要差异</w:t>
      </w:r>
    </w:p>
    <w:p w:rsidR="00D823D4" w:rsidRPr="00D823D4" w:rsidRDefault="00D823D4" w:rsidP="00D823D4">
      <w:pPr>
        <w:spacing w:line="400" w:lineRule="exact"/>
        <w:ind w:firstLineChars="200" w:firstLine="480"/>
        <w:rPr>
          <w:rFonts w:ascii="微软雅黑" w:eastAsia="微软雅黑" w:hAnsi="微软雅黑" w:cs="仿宋_GB2312"/>
          <w:sz w:val="24"/>
        </w:rPr>
      </w:pPr>
      <w:r w:rsidRPr="00D823D4">
        <w:rPr>
          <w:rFonts w:ascii="微软雅黑" w:eastAsia="微软雅黑" w:hAnsi="微软雅黑" w:cs="仿宋_GB2312" w:hint="eastAsia"/>
          <w:sz w:val="24"/>
        </w:rPr>
        <w:t>GB 10235-2012 《弧焊电源 防触电装置》为强制性国家标准，于2013-12-01实施，并替代GB 10235-2000《弧焊变压器 防触电装置》。现将其与GB 10235-2000的主要差异列表如下。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80"/>
        <w:gridCol w:w="1620"/>
        <w:gridCol w:w="5040"/>
      </w:tblGrid>
      <w:tr w:rsidR="00D823D4" w:rsidRPr="00D823D4" w:rsidTr="006A3684">
        <w:tc>
          <w:tcPr>
            <w:tcW w:w="540" w:type="dxa"/>
            <w:tcBorders>
              <w:top w:val="single" w:sz="4" w:space="0" w:color="auto"/>
              <w:left w:val="single" w:sz="4" w:space="0" w:color="auto"/>
              <w:bottom w:val="single" w:sz="4" w:space="0" w:color="auto"/>
              <w:right w:val="single" w:sz="4" w:space="0" w:color="auto"/>
            </w:tcBorders>
          </w:tcPr>
          <w:p w:rsidR="00D823D4" w:rsidRPr="00D823D4" w:rsidRDefault="00D823D4" w:rsidP="006A3684">
            <w:pPr>
              <w:spacing w:line="360" w:lineRule="exact"/>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60" w:lineRule="exact"/>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60" w:lineRule="exact"/>
              <w:jc w:val="center"/>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标准编号及对应的条款号</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60" w:lineRule="exact"/>
              <w:jc w:val="center"/>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内      容</w:t>
            </w:r>
          </w:p>
        </w:tc>
      </w:tr>
      <w:tr w:rsidR="00D823D4" w:rsidRPr="00D823D4" w:rsidTr="006A3684">
        <w:trPr>
          <w:trHeight w:val="51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标准名称</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弧焊电源 防触电装置</w:t>
            </w:r>
          </w:p>
        </w:tc>
      </w:tr>
      <w:tr w:rsidR="00D823D4" w:rsidRPr="00D823D4" w:rsidTr="006A3684">
        <w:trPr>
          <w:trHeight w:val="432"/>
        </w:trPr>
        <w:tc>
          <w:tcPr>
            <w:tcW w:w="540" w:type="dxa"/>
            <w:vMerge/>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弧焊变压器 防触电装置</w:t>
            </w:r>
          </w:p>
        </w:tc>
      </w:tr>
      <w:tr w:rsidR="00D823D4" w:rsidRPr="00D823D4" w:rsidTr="006A3684">
        <w:trPr>
          <w:trHeight w:val="79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2</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范围</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第1章</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本标准适用于GB 15579.1所规定的各种类型的弧焊电源用的防触电装置。</w:t>
            </w:r>
          </w:p>
        </w:tc>
      </w:tr>
      <w:tr w:rsidR="00D823D4" w:rsidRPr="00D823D4" w:rsidTr="006A3684">
        <w:trPr>
          <w:trHeight w:val="920"/>
        </w:trPr>
        <w:tc>
          <w:tcPr>
            <w:tcW w:w="540" w:type="dxa"/>
            <w:vMerge/>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第1章</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本标准适用于弧焊变压器次级额定空载电压高于交流68V（峰值）和48V（有效值），主回路采用半导体功率器件或电磁接触器控制的手工弧焊变压器防触电装置。</w:t>
            </w:r>
          </w:p>
        </w:tc>
      </w:tr>
      <w:tr w:rsidR="00D823D4" w:rsidRPr="00D823D4" w:rsidTr="006A3684">
        <w:trPr>
          <w:trHeight w:val="549"/>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3</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产品型式</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4.1</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按装置的安装方式分为内装式、外装式和柜装式。</w:t>
            </w:r>
          </w:p>
        </w:tc>
      </w:tr>
      <w:tr w:rsidR="00D823D4" w:rsidRPr="00D823D4" w:rsidTr="006A3684">
        <w:trPr>
          <w:trHeight w:val="627"/>
        </w:trPr>
        <w:tc>
          <w:tcPr>
            <w:tcW w:w="54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4.1</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按装置的安装方式分为内装式、外装式和柜装式；按装置的控制方式分为半导体功率器件控制式和电磁接触器控制式等。</w:t>
            </w:r>
          </w:p>
        </w:tc>
      </w:tr>
      <w:tr w:rsidR="00D823D4" w:rsidRPr="00D823D4" w:rsidTr="006A3684">
        <w:trPr>
          <w:trHeight w:val="656"/>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额定输入条件</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4.2.1</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装置的额定输入采用电网供电或以弧焊电源的次级回路输出作为装置的能量输入。</w:t>
            </w:r>
          </w:p>
        </w:tc>
      </w:tr>
      <w:tr w:rsidR="00D823D4" w:rsidRPr="00D823D4" w:rsidTr="006A3684">
        <w:trPr>
          <w:trHeight w:val="1162"/>
        </w:trPr>
        <w:tc>
          <w:tcPr>
            <w:tcW w:w="54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4.2.1</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装置的额定输入电压为50Hz单相交流220V或380V。对于以弧焊变压器的输出电压作为输入电源的装置，其适用的空载电压范围为交流65V～80V，或者按某一特定产品型号的空载电压进行设计。</w:t>
            </w:r>
          </w:p>
        </w:tc>
      </w:tr>
      <w:tr w:rsidR="00D823D4" w:rsidRPr="00D823D4" w:rsidTr="006A3684">
        <w:trPr>
          <w:trHeight w:val="656"/>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5</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额定电流等级</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4.2.2</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常用的额定电流（A）等级：25  40  63  100  125  160。</w:t>
            </w:r>
          </w:p>
        </w:tc>
      </w:tr>
      <w:tr w:rsidR="00D823D4" w:rsidRPr="00D823D4" w:rsidTr="006A3684">
        <w:trPr>
          <w:trHeight w:val="656"/>
        </w:trPr>
        <w:tc>
          <w:tcPr>
            <w:tcW w:w="54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4.2.2</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常用的额定电流（A）等级如下：100，125，160，200，250，315，400，500，630。</w:t>
            </w:r>
          </w:p>
        </w:tc>
      </w:tr>
      <w:tr w:rsidR="00D823D4" w:rsidRPr="00D823D4" w:rsidTr="006A3684">
        <w:trPr>
          <w:trHeight w:val="656"/>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6</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额定负载持续率</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4.2.3</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额定负载持续率（%）：20，35，60，80，100。</w:t>
            </w:r>
          </w:p>
        </w:tc>
      </w:tr>
      <w:tr w:rsidR="00D823D4" w:rsidRPr="00D823D4" w:rsidTr="006A3684">
        <w:trPr>
          <w:trHeight w:val="656"/>
        </w:trPr>
        <w:tc>
          <w:tcPr>
            <w:tcW w:w="54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4.2.3</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额定负载持续率（%）：35，60，100。</w:t>
            </w:r>
          </w:p>
        </w:tc>
      </w:tr>
      <w:tr w:rsidR="00D823D4" w:rsidRPr="00D823D4" w:rsidTr="006A3684">
        <w:trPr>
          <w:trHeight w:val="1032"/>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动作能力</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7.1</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采用电源电网供电的装置应在额定输入电压的85％～110％范围内正常工作；由弧焊电源的次级回路输出作为能量输入的装置应在弧焊电源规定的空载电压范围内正常工作。</w:t>
            </w:r>
          </w:p>
        </w:tc>
      </w:tr>
      <w:tr w:rsidR="00D823D4" w:rsidRPr="00D823D4" w:rsidTr="006A3684">
        <w:trPr>
          <w:trHeight w:val="656"/>
        </w:trPr>
        <w:tc>
          <w:tcPr>
            <w:tcW w:w="54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7.1</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装置应在额定输入电压的85％～110％范围内正常工作。</w:t>
            </w:r>
          </w:p>
        </w:tc>
      </w:tr>
      <w:tr w:rsidR="00D823D4" w:rsidRPr="00D823D4" w:rsidTr="006A3684">
        <w:trPr>
          <w:trHeight w:val="656"/>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lastRenderedPageBreak/>
              <w:t>8</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起动时间</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7.2</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装置的起动时间应不大于0.06s。</w:t>
            </w:r>
          </w:p>
        </w:tc>
      </w:tr>
      <w:tr w:rsidR="00D823D4" w:rsidRPr="00D823D4" w:rsidTr="006A3684">
        <w:trPr>
          <w:trHeight w:val="640"/>
        </w:trPr>
        <w:tc>
          <w:tcPr>
            <w:tcW w:w="54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7.2</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装置的起动时间应小于或等于0.06s。在起动装置时，焊条触及工件的时间应在0.02s～0.03s以内。</w:t>
            </w:r>
          </w:p>
        </w:tc>
      </w:tr>
      <w:tr w:rsidR="00D823D4" w:rsidRPr="00D823D4" w:rsidTr="006A3684">
        <w:trPr>
          <w:trHeight w:val="3039"/>
        </w:trPr>
        <w:tc>
          <w:tcPr>
            <w:tcW w:w="54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9</w:t>
            </w:r>
          </w:p>
        </w:tc>
        <w:tc>
          <w:tcPr>
            <w:tcW w:w="1080" w:type="dxa"/>
            <w:vMerge w:val="restart"/>
            <w:tcBorders>
              <w:top w:val="single" w:sz="4" w:space="0" w:color="auto"/>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延时时间</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7.3</w:t>
            </w:r>
          </w:p>
        </w:tc>
        <w:tc>
          <w:tcPr>
            <w:tcW w:w="5040"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18"/>
              <w:gridCol w:w="902"/>
              <w:gridCol w:w="1750"/>
            </w:tblGrid>
            <w:tr w:rsidR="00D823D4" w:rsidRPr="00D823D4" w:rsidTr="006A3684">
              <w:trPr>
                <w:jc w:val="center"/>
              </w:trPr>
              <w:tc>
                <w:tcPr>
                  <w:tcW w:w="1440" w:type="dxa"/>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空载电压</w:t>
                  </w:r>
                </w:p>
              </w:tc>
              <w:tc>
                <w:tcPr>
                  <w:tcW w:w="718"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延时时间</w:t>
                  </w:r>
                </w:p>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s</w:t>
                  </w:r>
                </w:p>
              </w:tc>
              <w:tc>
                <w:tcPr>
                  <w:tcW w:w="902"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最大值与最小值之差</w:t>
                  </w:r>
                </w:p>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s</w:t>
                  </w:r>
                </w:p>
              </w:tc>
              <w:tc>
                <w:tcPr>
                  <w:tcW w:w="175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电网波动时延时时间平均值与额定条件下的平均值之差</w:t>
                  </w:r>
                </w:p>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s</w:t>
                  </w:r>
                </w:p>
              </w:tc>
            </w:tr>
            <w:tr w:rsidR="00D823D4" w:rsidRPr="00D823D4" w:rsidTr="006A3684">
              <w:trPr>
                <w:jc w:val="center"/>
              </w:trPr>
              <w:tc>
                <w:tcPr>
                  <w:tcW w:w="144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超过GB 15579.1中 11.1.2的规定值时</w:t>
                  </w:r>
                </w:p>
              </w:tc>
              <w:tc>
                <w:tcPr>
                  <w:tcW w:w="718" w:type="dxa"/>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0.3</w:t>
                  </w:r>
                </w:p>
              </w:tc>
              <w:tc>
                <w:tcPr>
                  <w:tcW w:w="902" w:type="dxa"/>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0.1</w:t>
                  </w:r>
                </w:p>
              </w:tc>
              <w:tc>
                <w:tcPr>
                  <w:tcW w:w="1750" w:type="dxa"/>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0.05</w:t>
                  </w:r>
                </w:p>
              </w:tc>
            </w:tr>
            <w:tr w:rsidR="00D823D4" w:rsidRPr="00D823D4" w:rsidTr="006A3684">
              <w:trPr>
                <w:jc w:val="center"/>
              </w:trPr>
              <w:tc>
                <w:tcPr>
                  <w:tcW w:w="144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15579.1的11.1.2 和11.1.1的规定值之间</w:t>
                  </w:r>
                </w:p>
              </w:tc>
              <w:tc>
                <w:tcPr>
                  <w:tcW w:w="718" w:type="dxa"/>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2</w:t>
                  </w:r>
                </w:p>
              </w:tc>
              <w:tc>
                <w:tcPr>
                  <w:tcW w:w="902" w:type="dxa"/>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0.5</w:t>
                  </w:r>
                </w:p>
              </w:tc>
              <w:tc>
                <w:tcPr>
                  <w:tcW w:w="1750" w:type="dxa"/>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0.3</w:t>
                  </w:r>
                </w:p>
              </w:tc>
            </w:tr>
          </w:tbl>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r>
      <w:tr w:rsidR="00D823D4" w:rsidRPr="00D823D4" w:rsidTr="006A3684">
        <w:trPr>
          <w:trHeight w:val="1729"/>
        </w:trPr>
        <w:tc>
          <w:tcPr>
            <w:tcW w:w="540" w:type="dxa"/>
            <w:vMerge/>
            <w:tcBorders>
              <w:left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7.3</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在输入额定电压的条件下，测量装置的延时时间，其10次测量的平均值应不大于1.0s。在10次测量中延时时间的最大值与最小值之差应不大于0.2s。</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在输入电压为额定值的110％和85％时，分别对装置进行10次试验，求出每种情况下延时时间的平均值，它们与额定条件下测量的延时时间的平均值之差应不大于0.2s。</w:t>
            </w:r>
          </w:p>
        </w:tc>
      </w:tr>
      <w:tr w:rsidR="00D823D4" w:rsidRPr="00D823D4" w:rsidTr="006A3684">
        <w:trPr>
          <w:trHeight w:val="476"/>
        </w:trPr>
        <w:tc>
          <w:tcPr>
            <w:tcW w:w="540" w:type="dxa"/>
            <w:vMerge w:val="restart"/>
            <w:tcBorders>
              <w:left w:val="single" w:sz="4" w:space="0" w:color="auto"/>
              <w:right w:val="single" w:sz="4" w:space="0" w:color="auto"/>
            </w:tcBorders>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10</w:t>
            </w:r>
          </w:p>
        </w:tc>
        <w:tc>
          <w:tcPr>
            <w:tcW w:w="1080" w:type="dxa"/>
            <w:vMerge w:val="restart"/>
            <w:tcBorders>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动作电阻</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7.4.1 装置的动作电阻不应大于200Ω。</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7.4.2b) 对于采用电源电网供电的装置，将输入电压调节至额定值的110％和85％时，分别重复a）项试验，其装置的动作电阻的安全性同样应达到要求。</w:t>
            </w:r>
          </w:p>
        </w:tc>
      </w:tr>
      <w:tr w:rsidR="00D823D4" w:rsidRPr="00D823D4" w:rsidTr="006A3684">
        <w:trPr>
          <w:trHeight w:val="401"/>
        </w:trPr>
        <w:tc>
          <w:tcPr>
            <w:tcW w:w="540" w:type="dxa"/>
            <w:vMerge/>
            <w:tcBorders>
              <w:left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7.4.1 装置的起动灵敏度应不大于500Ω。</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7.4.2b) 将装置和弧焊变压器的输入电压提高到110％额定值，重复a）项试验，其装置的起动灵敏度的安全性同样应达到要求。</w:t>
            </w:r>
          </w:p>
        </w:tc>
      </w:tr>
      <w:tr w:rsidR="00D823D4" w:rsidRPr="00D823D4" w:rsidTr="006A3684">
        <w:trPr>
          <w:trHeight w:val="656"/>
        </w:trPr>
        <w:tc>
          <w:tcPr>
            <w:tcW w:w="540" w:type="dxa"/>
            <w:vMerge w:val="restart"/>
            <w:tcBorders>
              <w:left w:val="single" w:sz="4" w:space="0" w:color="auto"/>
              <w:right w:val="single" w:sz="4" w:space="0" w:color="auto"/>
            </w:tcBorders>
            <w:vAlign w:val="center"/>
          </w:tcPr>
          <w:p w:rsidR="00D823D4" w:rsidRPr="00D823D4" w:rsidRDefault="00D823D4" w:rsidP="006A3684">
            <w:pPr>
              <w:spacing w:line="320" w:lineRule="exact"/>
              <w:jc w:val="center"/>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11</w:t>
            </w:r>
          </w:p>
        </w:tc>
        <w:tc>
          <w:tcPr>
            <w:tcW w:w="1080" w:type="dxa"/>
            <w:vMerge w:val="restart"/>
            <w:tcBorders>
              <w:left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低空载电压</w:t>
            </w: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10235-2012</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7.5</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 xml:space="preserve">装置和弧焊电源均为额定输入条件下，降低的空载电压应不大于铭牌标称值和GB 15579.1中11.1.1的规定值。 </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lang w:val="zh-CN"/>
              </w:rPr>
              <w:t>建议</w:t>
            </w:r>
            <w:r w:rsidRPr="00D823D4">
              <w:rPr>
                <w:rFonts w:ascii="微软雅黑" w:eastAsia="微软雅黑" w:hAnsi="微软雅黑" w:cs="仿宋_GB2312" w:hint="eastAsia"/>
                <w:sz w:val="18"/>
                <w:szCs w:val="18"/>
              </w:rPr>
              <w:t>降低的空载电压</w:t>
            </w:r>
            <w:r w:rsidRPr="00D823D4">
              <w:rPr>
                <w:rFonts w:ascii="微软雅黑" w:eastAsia="微软雅黑" w:hAnsi="微软雅黑" w:cs="仿宋_GB2312" w:hint="eastAsia"/>
                <w:sz w:val="18"/>
                <w:szCs w:val="18"/>
                <w:lang w:val="zh-CN"/>
              </w:rPr>
              <w:t>尽可能低。</w:t>
            </w:r>
          </w:p>
        </w:tc>
      </w:tr>
      <w:tr w:rsidR="00D823D4" w:rsidRPr="00D823D4" w:rsidTr="006A3684">
        <w:trPr>
          <w:trHeight w:val="656"/>
        </w:trPr>
        <w:tc>
          <w:tcPr>
            <w:tcW w:w="540" w:type="dxa"/>
            <w:vMerge/>
            <w:tcBorders>
              <w:left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right w:val="single" w:sz="4" w:space="0" w:color="auto"/>
            </w:tcBorders>
            <w:vAlign w:val="center"/>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GB 10235-2000</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7.5</w:t>
            </w:r>
          </w:p>
        </w:tc>
        <w:tc>
          <w:tcPr>
            <w:tcW w:w="5040" w:type="dxa"/>
            <w:tcBorders>
              <w:top w:val="single" w:sz="4" w:space="0" w:color="auto"/>
              <w:left w:val="single" w:sz="4" w:space="0" w:color="auto"/>
              <w:bottom w:val="single" w:sz="4" w:space="0" w:color="auto"/>
              <w:right w:val="single" w:sz="4" w:space="0" w:color="auto"/>
            </w:tcBorders>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低空载电压应不大于24V。</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当装置的输入电压为额定值的110％时，其低空载电压也不应超过30V。</w:t>
            </w:r>
          </w:p>
        </w:tc>
      </w:tr>
    </w:tbl>
    <w:p w:rsidR="00D823D4" w:rsidRPr="00D823D4" w:rsidRDefault="00D823D4" w:rsidP="00D823D4">
      <w:pPr>
        <w:spacing w:line="320" w:lineRule="exact"/>
        <w:ind w:firstLineChars="200" w:firstLine="360"/>
        <w:rPr>
          <w:rFonts w:ascii="微软雅黑" w:eastAsia="微软雅黑" w:hAnsi="微软雅黑" w:cs="仿宋_GB2312"/>
          <w:sz w:val="18"/>
          <w:szCs w:val="18"/>
        </w:rPr>
      </w:pPr>
    </w:p>
    <w:p w:rsidR="00D823D4" w:rsidRPr="00D823D4" w:rsidRDefault="00D823D4" w:rsidP="00D823D4">
      <w:pPr>
        <w:spacing w:line="480" w:lineRule="exact"/>
        <w:rPr>
          <w:rFonts w:ascii="微软雅黑" w:eastAsia="微软雅黑" w:hAnsi="微软雅黑" w:cs="仿宋_GB2312"/>
          <w:b/>
          <w:bCs/>
          <w:sz w:val="28"/>
          <w:szCs w:val="28"/>
        </w:rPr>
      </w:pPr>
      <w:r w:rsidRPr="00D823D4">
        <w:rPr>
          <w:rFonts w:ascii="微软雅黑" w:eastAsia="微软雅黑" w:hAnsi="微软雅黑" w:cs="仿宋_GB2312" w:hint="eastAsia"/>
          <w:b/>
          <w:bCs/>
          <w:sz w:val="28"/>
          <w:szCs w:val="28"/>
        </w:rPr>
        <w:t>2. 弧焊变压器防触电装置产品强制性认证新、旧版标准（GB10235）差异试验项目表</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0"/>
        <w:gridCol w:w="2241"/>
        <w:gridCol w:w="2583"/>
        <w:gridCol w:w="2066"/>
      </w:tblGrid>
      <w:tr w:rsidR="00D823D4" w:rsidRPr="00D823D4" w:rsidTr="006A3684">
        <w:trPr>
          <w:trHeight w:val="791"/>
        </w:trPr>
        <w:tc>
          <w:tcPr>
            <w:tcW w:w="1670" w:type="dxa"/>
            <w:vAlign w:val="center"/>
          </w:tcPr>
          <w:p w:rsidR="00D823D4" w:rsidRPr="00D823D4" w:rsidRDefault="00D823D4" w:rsidP="006A3684">
            <w:pPr>
              <w:spacing w:line="320" w:lineRule="exact"/>
              <w:jc w:val="center"/>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涉及条款</w:t>
            </w:r>
          </w:p>
        </w:tc>
        <w:tc>
          <w:tcPr>
            <w:tcW w:w="2241" w:type="dxa"/>
            <w:vAlign w:val="center"/>
          </w:tcPr>
          <w:p w:rsidR="00D823D4" w:rsidRPr="00D823D4" w:rsidRDefault="00D823D4" w:rsidP="006A3684">
            <w:pPr>
              <w:spacing w:line="320" w:lineRule="exact"/>
              <w:jc w:val="center"/>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新、旧版标准差异说明</w:t>
            </w:r>
          </w:p>
        </w:tc>
        <w:tc>
          <w:tcPr>
            <w:tcW w:w="2583" w:type="dxa"/>
            <w:vAlign w:val="center"/>
          </w:tcPr>
          <w:p w:rsidR="00D823D4" w:rsidRPr="00D823D4" w:rsidRDefault="00D823D4" w:rsidP="006A3684">
            <w:pPr>
              <w:spacing w:line="320" w:lineRule="exact"/>
              <w:jc w:val="center"/>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补充试验说明</w:t>
            </w:r>
          </w:p>
        </w:tc>
        <w:tc>
          <w:tcPr>
            <w:tcW w:w="2066" w:type="dxa"/>
            <w:vAlign w:val="center"/>
          </w:tcPr>
          <w:p w:rsidR="00D823D4" w:rsidRPr="00D823D4" w:rsidRDefault="00D823D4" w:rsidP="006A3684">
            <w:pPr>
              <w:spacing w:line="320" w:lineRule="exact"/>
              <w:jc w:val="center"/>
              <w:rPr>
                <w:rFonts w:ascii="微软雅黑" w:eastAsia="微软雅黑" w:hAnsi="微软雅黑" w:cs="仿宋_GB2312"/>
                <w:b/>
                <w:bCs/>
                <w:sz w:val="18"/>
                <w:szCs w:val="18"/>
              </w:rPr>
            </w:pPr>
            <w:r w:rsidRPr="00D823D4">
              <w:rPr>
                <w:rFonts w:ascii="微软雅黑" w:eastAsia="微软雅黑" w:hAnsi="微软雅黑" w:cs="仿宋_GB2312" w:hint="eastAsia"/>
                <w:b/>
                <w:bCs/>
                <w:sz w:val="18"/>
                <w:szCs w:val="18"/>
              </w:rPr>
              <w:t>送样要求</w:t>
            </w:r>
          </w:p>
        </w:tc>
      </w:tr>
      <w:tr w:rsidR="00D823D4" w:rsidRPr="00D823D4" w:rsidTr="006A3684">
        <w:trPr>
          <w:trHeight w:val="1261"/>
        </w:trPr>
        <w:tc>
          <w:tcPr>
            <w:tcW w:w="167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lastRenderedPageBreak/>
              <w:t>7.3延时时间</w:t>
            </w:r>
          </w:p>
        </w:tc>
        <w:tc>
          <w:tcPr>
            <w:tcW w:w="2241"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修改：延时时间的要求。</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增加：延时时间的最大值与最小值之差要求。</w:t>
            </w:r>
          </w:p>
        </w:tc>
        <w:tc>
          <w:tcPr>
            <w:tcW w:w="2583" w:type="dxa"/>
          </w:tcPr>
          <w:p w:rsidR="00D823D4" w:rsidRPr="00D823D4" w:rsidRDefault="00D823D4" w:rsidP="006A3684">
            <w:pPr>
              <w:spacing w:line="320" w:lineRule="exact"/>
              <w:rPr>
                <w:rFonts w:ascii="微软雅黑" w:eastAsia="微软雅黑" w:hAnsi="微软雅黑" w:cs="仿宋_GB2312"/>
                <w:sz w:val="18"/>
                <w:szCs w:val="18"/>
              </w:rPr>
            </w:pP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 xml:space="preserve"> 补充试验：</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 xml:space="preserve"> 重新进行延时时间测量。</w:t>
            </w:r>
          </w:p>
        </w:tc>
        <w:tc>
          <w:tcPr>
            <w:tcW w:w="2066" w:type="dxa"/>
            <w:vMerge w:val="restart"/>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按CNCA</w:t>
            </w:r>
            <w:r w:rsidRPr="00D823D4">
              <w:rPr>
                <w:rFonts w:ascii="微软雅黑" w:eastAsia="微软雅黑" w:hAnsi="微软雅黑" w:cs="仿宋_GB2312" w:hint="eastAsia"/>
                <w:sz w:val="18"/>
                <w:szCs w:val="18"/>
              </w:rPr>
              <w:softHyphen/>
            </w:r>
            <w:r w:rsidRPr="00D823D4">
              <w:rPr>
                <w:rFonts w:ascii="微软雅黑" w:eastAsia="微软雅黑" w:hAnsi="微软雅黑" w:cs="仿宋_GB2312" w:hint="eastAsia"/>
                <w:sz w:val="18"/>
                <w:szCs w:val="18"/>
              </w:rPr>
              <w:softHyphen/>
              <w:t>—01C—015：2011《电气电子产品类强制性认证实施规则电焊机》要求送样</w:t>
            </w:r>
          </w:p>
        </w:tc>
      </w:tr>
      <w:tr w:rsidR="00D823D4" w:rsidRPr="00D823D4" w:rsidTr="006A3684">
        <w:trPr>
          <w:trHeight w:val="791"/>
        </w:trPr>
        <w:tc>
          <w:tcPr>
            <w:tcW w:w="167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7.4动作电阻</w:t>
            </w:r>
          </w:p>
        </w:tc>
        <w:tc>
          <w:tcPr>
            <w:tcW w:w="2241"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修改：装置的起动电阻值要求。</w:t>
            </w:r>
          </w:p>
        </w:tc>
        <w:tc>
          <w:tcPr>
            <w:tcW w:w="2583" w:type="dxa"/>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补充试验：</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重新进行动作电阻试验。</w:t>
            </w:r>
          </w:p>
        </w:tc>
        <w:tc>
          <w:tcPr>
            <w:tcW w:w="2066" w:type="dxa"/>
            <w:vMerge/>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r>
      <w:tr w:rsidR="00D823D4" w:rsidRPr="00D823D4" w:rsidTr="006A3684">
        <w:trPr>
          <w:trHeight w:val="791"/>
        </w:trPr>
        <w:tc>
          <w:tcPr>
            <w:tcW w:w="167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7.5低空载电压</w:t>
            </w:r>
          </w:p>
        </w:tc>
        <w:tc>
          <w:tcPr>
            <w:tcW w:w="2241"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修改：空载电压要求。</w:t>
            </w:r>
          </w:p>
        </w:tc>
        <w:tc>
          <w:tcPr>
            <w:tcW w:w="2583" w:type="dxa"/>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补充试验：</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重新进行空载电压试验。</w:t>
            </w:r>
          </w:p>
        </w:tc>
        <w:tc>
          <w:tcPr>
            <w:tcW w:w="2066" w:type="dxa"/>
            <w:vMerge/>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r>
      <w:tr w:rsidR="00D823D4" w:rsidRPr="00D823D4" w:rsidTr="006A3684">
        <w:trPr>
          <w:trHeight w:val="791"/>
        </w:trPr>
        <w:tc>
          <w:tcPr>
            <w:tcW w:w="167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7.6接续端子</w:t>
            </w:r>
          </w:p>
        </w:tc>
        <w:tc>
          <w:tcPr>
            <w:tcW w:w="2241"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修改：装置的接线端子导线截面积范围要求。</w:t>
            </w:r>
          </w:p>
        </w:tc>
        <w:tc>
          <w:tcPr>
            <w:tcW w:w="2583" w:type="dxa"/>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补充试验：</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重新进行接线端子测量。</w:t>
            </w:r>
          </w:p>
        </w:tc>
        <w:tc>
          <w:tcPr>
            <w:tcW w:w="2066" w:type="dxa"/>
            <w:vMerge/>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r>
      <w:tr w:rsidR="00D823D4" w:rsidRPr="00D823D4" w:rsidTr="006A3684">
        <w:trPr>
          <w:trHeight w:val="791"/>
        </w:trPr>
        <w:tc>
          <w:tcPr>
            <w:tcW w:w="167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7.14介电强度</w:t>
            </w:r>
          </w:p>
        </w:tc>
        <w:tc>
          <w:tcPr>
            <w:tcW w:w="2241"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修改：介电强度试验电压要求。</w:t>
            </w:r>
          </w:p>
        </w:tc>
        <w:tc>
          <w:tcPr>
            <w:tcW w:w="2583" w:type="dxa"/>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补充试验：</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重新进行介电强度试验。</w:t>
            </w:r>
          </w:p>
        </w:tc>
        <w:tc>
          <w:tcPr>
            <w:tcW w:w="2066" w:type="dxa"/>
            <w:vMerge/>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r>
      <w:tr w:rsidR="00D823D4" w:rsidRPr="00D823D4" w:rsidTr="006A3684">
        <w:trPr>
          <w:trHeight w:val="958"/>
        </w:trPr>
        <w:tc>
          <w:tcPr>
            <w:tcW w:w="1670"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7.16温升限值</w:t>
            </w:r>
          </w:p>
        </w:tc>
        <w:tc>
          <w:tcPr>
            <w:tcW w:w="2241" w:type="dxa"/>
            <w:vAlign w:val="center"/>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增加：功率器件的温升限值要求。</w:t>
            </w:r>
          </w:p>
        </w:tc>
        <w:tc>
          <w:tcPr>
            <w:tcW w:w="2583" w:type="dxa"/>
          </w:tcPr>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补充试验：</w:t>
            </w:r>
          </w:p>
          <w:p w:rsidR="00D823D4" w:rsidRPr="00D823D4" w:rsidRDefault="00D823D4" w:rsidP="006A3684">
            <w:pPr>
              <w:spacing w:line="320" w:lineRule="exact"/>
              <w:rPr>
                <w:rFonts w:ascii="微软雅黑" w:eastAsia="微软雅黑" w:hAnsi="微软雅黑" w:cs="仿宋_GB2312"/>
                <w:sz w:val="18"/>
                <w:szCs w:val="18"/>
              </w:rPr>
            </w:pPr>
            <w:r w:rsidRPr="00D823D4">
              <w:rPr>
                <w:rFonts w:ascii="微软雅黑" w:eastAsia="微软雅黑" w:hAnsi="微软雅黑" w:cs="仿宋_GB2312" w:hint="eastAsia"/>
                <w:sz w:val="18"/>
                <w:szCs w:val="18"/>
              </w:rPr>
              <w:t>若装置用功率器件进行主回路转换，应进行功率器件的温升试验。</w:t>
            </w:r>
          </w:p>
        </w:tc>
        <w:tc>
          <w:tcPr>
            <w:tcW w:w="2066" w:type="dxa"/>
            <w:vMerge/>
          </w:tcPr>
          <w:p w:rsidR="00D823D4" w:rsidRPr="00D823D4" w:rsidRDefault="00D823D4" w:rsidP="006A3684">
            <w:pPr>
              <w:spacing w:line="320" w:lineRule="exact"/>
              <w:ind w:firstLineChars="200" w:firstLine="360"/>
              <w:rPr>
                <w:rFonts w:ascii="微软雅黑" w:eastAsia="微软雅黑" w:hAnsi="微软雅黑" w:cs="仿宋_GB2312"/>
                <w:sz w:val="18"/>
                <w:szCs w:val="18"/>
              </w:rPr>
            </w:pPr>
          </w:p>
        </w:tc>
      </w:tr>
    </w:tbl>
    <w:p w:rsidR="00D823D4" w:rsidRPr="00D823D4" w:rsidRDefault="00D823D4" w:rsidP="00D823D4">
      <w:pPr>
        <w:spacing w:line="560" w:lineRule="exact"/>
        <w:ind w:left="3360" w:firstLine="420"/>
        <w:rPr>
          <w:rFonts w:ascii="微软雅黑" w:eastAsia="微软雅黑" w:hAnsi="微软雅黑" w:cs="仿宋_GB2312"/>
          <w:sz w:val="28"/>
          <w:szCs w:val="28"/>
        </w:rPr>
      </w:pPr>
    </w:p>
    <w:p w:rsidR="00D823D4" w:rsidRPr="00D823D4" w:rsidRDefault="00D823D4" w:rsidP="00D823D4">
      <w:pPr>
        <w:spacing w:line="560" w:lineRule="exact"/>
        <w:ind w:left="3360" w:firstLine="420"/>
        <w:rPr>
          <w:rFonts w:ascii="微软雅黑" w:eastAsia="微软雅黑" w:hAnsi="微软雅黑" w:cs="仿宋_GB2312"/>
          <w:sz w:val="28"/>
          <w:szCs w:val="28"/>
        </w:rPr>
      </w:pPr>
    </w:p>
    <w:p w:rsidR="00D823D4" w:rsidRPr="00D823D4" w:rsidRDefault="00D823D4" w:rsidP="00D823D4">
      <w:pPr>
        <w:rPr>
          <w:rFonts w:ascii="微软雅黑" w:eastAsia="微软雅黑" w:hAnsi="微软雅黑"/>
        </w:rPr>
      </w:pPr>
    </w:p>
    <w:p w:rsidR="00D823D4" w:rsidRPr="00D823D4" w:rsidRDefault="00D823D4" w:rsidP="00D823D4">
      <w:pPr>
        <w:rPr>
          <w:rFonts w:ascii="微软雅黑" w:eastAsia="微软雅黑" w:hAnsi="微软雅黑"/>
        </w:rPr>
      </w:pPr>
    </w:p>
    <w:p w:rsidR="00D823D4" w:rsidRPr="00D823D4" w:rsidRDefault="00D823D4" w:rsidP="00D823D4">
      <w:pPr>
        <w:rPr>
          <w:rFonts w:ascii="微软雅黑" w:eastAsia="微软雅黑" w:hAnsi="微软雅黑"/>
        </w:rPr>
      </w:pPr>
    </w:p>
    <w:p w:rsidR="00D823D4" w:rsidRPr="00D823D4" w:rsidRDefault="00D823D4" w:rsidP="00D823D4">
      <w:pPr>
        <w:rPr>
          <w:rFonts w:ascii="微软雅黑" w:eastAsia="微软雅黑" w:hAnsi="微软雅黑"/>
        </w:rPr>
      </w:pPr>
    </w:p>
    <w:p w:rsidR="000A326C" w:rsidRPr="00D823D4" w:rsidRDefault="000A326C">
      <w:pPr>
        <w:rPr>
          <w:rFonts w:ascii="微软雅黑" w:eastAsia="微软雅黑" w:hAnsi="微软雅黑"/>
        </w:rPr>
      </w:pPr>
    </w:p>
    <w:sectPr w:rsidR="000A326C" w:rsidRPr="00D823D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6C" w:rsidRDefault="000A326C" w:rsidP="00D823D4">
      <w:r>
        <w:separator/>
      </w:r>
    </w:p>
  </w:endnote>
  <w:endnote w:type="continuationSeparator" w:id="1">
    <w:p w:rsidR="000A326C" w:rsidRDefault="000A326C" w:rsidP="00D823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6C" w:rsidRDefault="000A326C" w:rsidP="00D823D4">
      <w:r>
        <w:separator/>
      </w:r>
    </w:p>
  </w:footnote>
  <w:footnote w:type="continuationSeparator" w:id="1">
    <w:p w:rsidR="000A326C" w:rsidRDefault="000A326C" w:rsidP="00D823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3D4"/>
    <w:rsid w:val="000A326C"/>
    <w:rsid w:val="00D82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23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23D4"/>
    <w:rPr>
      <w:sz w:val="18"/>
      <w:szCs w:val="18"/>
    </w:rPr>
  </w:style>
  <w:style w:type="paragraph" w:styleId="a4">
    <w:name w:val="footer"/>
    <w:basedOn w:val="a"/>
    <w:link w:val="Char0"/>
    <w:uiPriority w:val="99"/>
    <w:semiHidden/>
    <w:unhideWhenUsed/>
    <w:rsid w:val="00D823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23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2066</Characters>
  <Application>Microsoft Office Word</Application>
  <DocSecurity>0</DocSecurity>
  <Lines>17</Lines>
  <Paragraphs>4</Paragraphs>
  <ScaleCrop>false</ScaleCrop>
  <Company>CHINA</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2013-12-05T14:40:00Z</dcterms:created>
  <dcterms:modified xsi:type="dcterms:W3CDTF">2013-12-05T14:41:00Z</dcterms:modified>
</cp:coreProperties>
</file>